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555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276" w:lineRule="auto"/>
        <w:ind w:firstLine="555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采购软件名称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：防统方系统</w:t>
      </w:r>
    </w:p>
    <w:p>
      <w:pPr>
        <w:spacing w:line="276" w:lineRule="auto"/>
        <w:ind w:left="0" w:leftChars="0" w:firstLine="0" w:firstLineChars="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软件实现功能：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防统方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系统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即是防止统方行为发生，根据医疗行业及其应用系统的特点，以操作行为的正常规律和规则为依据，对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药品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相关计算机系统进行的操作行为产生的痕迹进行监测分析，发现和防范内部人员借助信息技术实施的违规和犯罪。对信息系统运行有影响的各种角色的行为过程进行实时监测，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通过监测发现处方统计行为是否合理，从而对该行为进行有效控制，防止非法统计处方行为。</w:t>
      </w:r>
      <w:bookmarkStart w:id="0" w:name="_GoBack"/>
      <w:bookmarkEnd w:id="0"/>
    </w:p>
    <w:p>
      <w:pPr>
        <w:spacing w:line="276" w:lineRule="auto"/>
        <w:ind w:firstLine="555"/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line="276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防统方系统参数要求</w:t>
      </w:r>
    </w:p>
    <w:p>
      <w:pPr>
        <w:spacing w:line="276" w:lineRule="auto"/>
        <w:ind w:firstLine="555"/>
        <w:jc w:val="center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参数要求表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系统硬件配置：2U 机架式设备; CPU：&gt;=4核心，8线程; 内存：&gt;=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GB , 磁盘：&gt;=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TB； 监听口：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千兆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2。负载能力：每秒至少能处理800Mbps以上网络流量; 支持千兆网络环境及至少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00个客户端并发网络环境监控。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系统须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网络旁路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部署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又要支持应用日志采集审计，以便灵活部署。同时，部署时不对现有的网络体系结构（包括：终端、路由器、防火墙、应用层负载均衡设备、应用服务器、数据库等）进行调整，工作时不影响数据库本身的运行与性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系统具有完善的自身审计功能，包括网络断线、磁盘满、用户登录以及各种操作都有详细记录，对于影响系统正常运行的事件提供实时报警功能。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防统方软件需要支持HTTPS的WEB应用访问审计并对统方操作进行报警。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10"/>
                <w:sz w:val="24"/>
                <w:szCs w:val="24"/>
              </w:rPr>
              <w:t>能够出具针对纪委、监察室、行风办等相关人员使用的防统方报告，支持每天、每周、每月自动生成统方报告。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具有自动将计算机语言翻译成通俗易懂的自然语言的系统机制，便于查看和发现。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提供纪监监察部门专用账号，独立于数据库审计的账号，专门实现统方行为的监控、查询、统计等功能，系统需要对药品、耗材相关统方行为进行监控，需要提供统方事件备注审批功能。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实时监控医院对于防统方系统的使用情况，对上线情况进行查询，并产生报表，确认系统被使用频率和状态。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对存储过程进行动态审计（药品、耗材的使用统计相关存储过程），该存储过程中含有定义的异常敏感操作，在该存储过程执行时能够自动报警。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实现对统方事件进行汇总统计分析；可以对统方客户端使用的程序、客户端IP、用户名进行排名展示。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实现对统方事件进行实时报警；可以对统方事件进行趋势分析并以图形化形式进行展示，并按照重要程度分别统计。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系统提供按SQL语句规则匹配次数忽略报警事件的功能。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提供防统方事件查询功能，用户可根据时间、地址、数据库类型、用户名、操作类型、数据库名，表名，字段名等多种条件进行组合，进行精确事件查询。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系统提供数据备份清理功能，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数据备份跨度以天为单位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；支持</w:t>
            </w:r>
            <w:r>
              <w:rPr>
                <w:rFonts w:ascii="宋体" w:hAnsi="宋体" w:eastAsia="宋体" w:cs="宋体"/>
                <w:sz w:val="24"/>
                <w:szCs w:val="24"/>
              </w:rPr>
              <w:t>选择时间范围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内的数据清理功能。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系统可设置审计数据保存期限，至少保存一年的数据并支持实时查询。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针对统方行为进行统计分析，能够按照医院科室部门，统计分析每个科室部门统方行为以及对数据库访问的排名情况。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</w:rPr>
              <w:t>支持针对Oracle、SQL Server、MySQL、DB2、Hive、Informix、Sybase、PostgreSQL、KingBase、</w:t>
            </w:r>
            <w:r>
              <w:rPr>
                <w:rFonts w:ascii="宋体" w:hAnsi="宋体" w:eastAsia="宋体"/>
                <w:color w:val="000000"/>
                <w:kern w:val="2"/>
                <w:sz w:val="24"/>
                <w:szCs w:val="24"/>
              </w:rPr>
              <w:t>hbase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color w:val="000000"/>
                <w:kern w:val="2"/>
                <w:sz w:val="24"/>
                <w:szCs w:val="24"/>
              </w:rPr>
              <w:t>cache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</w:rPr>
              <w:t>、GaussDB等主流医疗数据库进行防统方审计，以便满足医院信息化发展需求。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</w:rPr>
              <w:t>提供截图并厂家盖章证明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对于统方行为，一般涉及查询一个月及以上的药品用量信息，统方sql执行时间和对应的执行结果流量具有一定意义,系统需要提供对sql执行时间、执行结果流量进行监控功能，对sql执行时间长短、执行结果流量大小超过设置的进行报警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</w:rPr>
              <w:t>提供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WEB管理界面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</w:rPr>
              <w:t>截图并厂家盖章证明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系统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在网络旁路部署的情况下，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不得安装插件等其他管理程序，提供统方查询操作阻断功能。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提供非应用系统、非数据库发起的select类型的统方查询操作阻断功能，需要提供“阻断策略”管理界面，需要涵盖“阻断配置”功能（可按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一天内一个终端最多阻断次数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一天内最多阻断终端个数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阻断持续时间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进行阻断配置）、“阻断记录”功能、“阻断白名单”功能（阻断白名单，需要按终端IP、账号、白名单生效时段设置每月生效、每周生效、每天生效等条件）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</w:rPr>
              <w:t>提供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WEB管理界面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</w:rPr>
              <w:t>截图并厂家盖章证明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实现对医院多个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数据库、应用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的防统方功能，可同时针对HIS、EMR、LIS、合理用药、医嘱等业务系统数据库。对HIS系统等，提供</w:t>
            </w:r>
            <w:r>
              <w:rPr>
                <w:rFonts w:hint="eastAsia" w:ascii="宋体" w:hAnsi="宋体" w:eastAsia="宋体"/>
                <w:spacing w:val="10"/>
                <w:sz w:val="24"/>
                <w:szCs w:val="24"/>
              </w:rPr>
              <w:t>内置防统方知识库功能，且具有自动优化防统方策略功能；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同时提供自定义规则功能。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实时记录用户对数据库的登录、注销、插入、存储、删除等操作过程，并将这些动作还原为</w:t>
            </w:r>
            <w:r>
              <w:rPr>
                <w:rFonts w:ascii="宋体" w:hAnsi="宋体" w:eastAsia="宋体"/>
                <w:sz w:val="24"/>
                <w:szCs w:val="24"/>
              </w:rPr>
              <w:t>SQL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执行语句。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能够针对TNS、TDS等协议进行解析还原，包括数据访问的各项要素，如执行的SQL命令、请求内容、执行时长；以及客户端及主机端IP、MAC地址等内容。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系统能够对用户数据库的存储过程进行每日扫描，监控存储过程内容中的涉及统方的可疑内容，并进行提醒。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系统支持对B/S三层业务系统的审计，能同时实现网页URL审计与数据库SQL操作语句的审计。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系统能审计到具体的SQL统方语句、URL统方语句的执行时间，根据SQL语句的响应时间，为使用者提供统方行为判断的有效技术分析能力。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系统以图形方式展示系统流量、存储、CPU、内存等使用情况。自动监控系统自身运行状况，系统运行出现故障时，向管理员报警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。系统支持SNMP协议、S</w:t>
            </w:r>
            <w:r>
              <w:rPr>
                <w:rFonts w:ascii="宋体" w:hAnsi="宋体" w:eastAsia="宋体" w:cs="宋体"/>
                <w:sz w:val="24"/>
                <w:szCs w:val="24"/>
              </w:rPr>
              <w:t>yslog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，能为第三方管理软件提供接口。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系统支持数据自动和手动备份操作，备份策略可按天、周、月进行选择，自动备份支持远程设备。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系统用户中包含管理员、审计员、安全员、纪检等多种角色，分别进行系统管理，授权及操作日志管理、使用记录管理。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审计数据支持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10种以上</w:t>
            </w:r>
            <w:r>
              <w:rPr>
                <w:rFonts w:ascii="宋体" w:hAnsi="宋体" w:eastAsia="宋体"/>
                <w:sz w:val="24"/>
                <w:szCs w:val="24"/>
              </w:rPr>
              <w:t>查询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方式</w:t>
            </w:r>
            <w:r>
              <w:rPr>
                <w:rFonts w:ascii="宋体" w:hAnsi="宋体" w:eastAsia="宋体"/>
                <w:sz w:val="24"/>
                <w:szCs w:val="24"/>
              </w:rPr>
              <w:t>，支持对查询数据以Excel格式导出，并出具报表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adjustRightInd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系统支持每周、每月自动生成报表，对报警事件进行汇总分析，并给出分析结果。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系统提供“统方行为记录与阻断”能力，支持根据统方规则记录统方事件，根据统方的特征，通过关键字审计到统方的操作行为，触发阻断功能，阻断终端继续操作数据库进行统方行为。（提供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截图证明或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公安部相关质量检测中心出具的检验报告功能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合格证明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材料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系统支持对统方事件进行手机短信、邮件等报警，支持短信平台、第三方API等告警对接方式。告警内容需要包含规则修改情况、系统运行情况、统方事件汇总或详情。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虑对防统方相关事件数据保存时间超过1年及以上，系统需要支持查询优化策略功能，需要提供“优化查询配置”界面，可根据总数据大小、最大查询等待时间、磁盘IO速率等进行查询优化。（提供系统WEB界面截图并厂家盖章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鉴于防统方系统的使用敏感性，用户环境若要求令牌登录认证，防统方系统需要提供相应管理功能界面，至少具有导入令牌信息、解冻结等功能。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防统方系统需要提供“药品代码判断”策略界面，支持定时对新生成的报警进行分析，判断是否涉及到药品编号，如果有药品编号，但这个编号没有在系统中备案，报警信息需要被事件降级。（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</w:rPr>
              <w:t>提供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WEB管理界面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</w:rPr>
              <w:t>截图并厂家盖章证明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防统方系统需要提供“报警事件汇总”的功能，需要按今日、最近一天、最近7天、最近30天进行不同级别的事件汇总，需要展示最近一个月报警记录，包含源IP地址、操作用户、数据库登录名、所属部门、报警数量等信息，并提供详细查询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防统方系统需要提供“按规则汇总”的事件查询功能，需要根据时间范围、规则和源IP地址进行查询展示包含源IP地址、匹配次数等信息，并提供详细查询功能。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需要提供报警统计分析界面，需要提供事件统计、最近30天报警趋势、操作类型统计、最近30天事件趋势等可视化图形，并提供最新报警和最新事件展示功能。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需要提供查看统方事件相关的SQL操作分布的功能，需要根据源IP地址、时间范围、数据库等进行条件查询，提供SQL分布散点图并进行客户端IP、SQL内容、执行时间（耗时）等内容的详细展示。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为了方便用户查询所需要的信息，需要提供对数据库操作的默认查询功能，条件包括操作内容、对象、登录名、源IP地址、客户端MAC、客户端主机名、应用程序名、操作用户，全文检索等；需要提供复杂的自定义查询功能，用户需要使用"或"条件、"与"条件、LIKE、"LIKE%"、"IN"或者"NOTIN"等多条件设置查询。（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</w:rPr>
              <w:t>提供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WEB界面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</w:rPr>
              <w:t>截图并厂家盖章证明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系统需要提供规则导入导出功能，需要提供丰富的规则管理功能和忽略规则管理功能，对规则可进行批量生效、批量失效的设置，同时为规则管理提供一键“删除零匹配”的功能。（提供截图并厂家盖章证明）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为了方便系统在内网环境中的运维，系统需要提供内网环境的常用下载，包括下载系统日志信息（精简日志、完整日志、客户端IP信息下载），常用工具下载（SecureCRT、winscp、putty），其他相关工具（hypertrm、UltraEdit、epsnap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790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系统需要支持必要的网络管理功能界面，提供对用户现场的交换机设备的信息查看的功能。（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</w:rPr>
              <w:t>提供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WEB界面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</w:rPr>
              <w:t>截图并厂家盖章证明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en-US"/>
      </w:rPr>
      <w:fldChar w:fldCharType="begin"/>
    </w:r>
    <w:r>
      <w:instrText xml:space="preserve">PAGE   \* MERGEFORMAT</w:instrText>
    </w:r>
    <w:r>
      <w:rPr>
        <w:lang w:val="en-US"/>
      </w:rP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OGM1ODQ3NTdmN2Y3MWJjY2IxMDU1ZDZmNzUwMTUifQ=="/>
  </w:docVars>
  <w:rsids>
    <w:rsidRoot w:val="00172A27"/>
    <w:rsid w:val="190E58A7"/>
    <w:rsid w:val="42753343"/>
    <w:rsid w:val="44A54A2F"/>
    <w:rsid w:val="7FBF76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qFormat="1" w:uiPriority="99" w:semiHidden="0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uiPriority="1" w:semiHidden="0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uiPriority="1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qFormat="1" w:uiPriority="99" w:semiHidden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qFormat="1" w:uiPriority="99" w:semiHidden="0" w:name="Balloon Text"/>
    <w:lsdException w:uiPriority="1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alibri" w:hAnsi="Calibri" w:eastAsia="等线" w:cs="Times New Roman"/>
      <w:kern w:val="3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  <w:rPr>
      <w:szCs w:val="2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unhideWhenUsed/>
    <w:qFormat/>
    <w:uiPriority w:val="99"/>
    <w:rPr>
      <w:color w:val="800080"/>
      <w:u w:val="single"/>
    </w:rPr>
  </w:style>
  <w:style w:type="character" w:styleId="9">
    <w:name w:val="Hyperlink"/>
    <w:unhideWhenUsed/>
    <w:qFormat/>
    <w:uiPriority w:val="99"/>
    <w:rPr>
      <w:color w:val="0563C1"/>
      <w:u w:val="single"/>
    </w:rPr>
  </w:style>
  <w:style w:type="character" w:styleId="10">
    <w:name w:val="annotation reference"/>
    <w:unhideWhenUsed/>
    <w:qFormat/>
    <w:uiPriority w:val="99"/>
    <w:rPr>
      <w:sz w:val="21"/>
      <w:szCs w:val="21"/>
    </w:rPr>
  </w:style>
  <w:style w:type="character" w:customStyle="1" w:styleId="11">
    <w:name w:val="批注文字 Char1"/>
    <w:link w:val="2"/>
    <w:semiHidden/>
    <w:qFormat/>
    <w:uiPriority w:val="99"/>
    <w:rPr>
      <w:rFonts w:ascii="Calibri" w:hAnsi="Calibri" w:eastAsia="等线" w:cs="Times New Roman"/>
      <w:kern w:val="3"/>
      <w:sz w:val="22"/>
    </w:rPr>
  </w:style>
  <w:style w:type="character" w:customStyle="1" w:styleId="12">
    <w:name w:val="批注框文本 Char1"/>
    <w:link w:val="3"/>
    <w:semiHidden/>
    <w:qFormat/>
    <w:uiPriority w:val="99"/>
    <w:rPr>
      <w:rFonts w:ascii="Calibri" w:hAnsi="Calibri" w:eastAsia="等线" w:cs="Times New Roman"/>
      <w:kern w:val="3"/>
      <w:sz w:val="18"/>
      <w:szCs w:val="18"/>
    </w:rPr>
  </w:style>
  <w:style w:type="character" w:customStyle="1" w:styleId="13">
    <w:name w:val="页脚 Char1"/>
    <w:link w:val="4"/>
    <w:qFormat/>
    <w:uiPriority w:val="99"/>
    <w:rPr>
      <w:rFonts w:ascii="Calibri" w:hAnsi="Calibri" w:eastAsia="等线" w:cs="Times New Roman"/>
      <w:kern w:val="3"/>
      <w:sz w:val="18"/>
      <w:szCs w:val="18"/>
    </w:rPr>
  </w:style>
  <w:style w:type="character" w:customStyle="1" w:styleId="14">
    <w:name w:val="页眉 Char1"/>
    <w:link w:val="5"/>
    <w:qFormat/>
    <w:uiPriority w:val="99"/>
    <w:rPr>
      <w:rFonts w:ascii="Calibri" w:hAnsi="Calibri" w:eastAsia="等线" w:cs="Times New Roman"/>
      <w:kern w:val="3"/>
      <w:sz w:val="18"/>
      <w:szCs w:val="18"/>
    </w:rPr>
  </w:style>
  <w:style w:type="character" w:customStyle="1" w:styleId="15">
    <w:name w:val="批注文字 Char"/>
    <w:basedOn w:val="7"/>
    <w:semiHidden/>
    <w:qFormat/>
    <w:uiPriority w:val="99"/>
    <w:rPr>
      <w:rFonts w:ascii="Calibri" w:hAnsi="Calibri" w:eastAsia="等线" w:cs="Times New Roman"/>
      <w:kern w:val="3"/>
      <w:sz w:val="22"/>
    </w:rPr>
  </w:style>
  <w:style w:type="character" w:customStyle="1" w:styleId="16">
    <w:name w:val="批注框文本 Char"/>
    <w:basedOn w:val="7"/>
    <w:semiHidden/>
    <w:qFormat/>
    <w:uiPriority w:val="99"/>
    <w:rPr>
      <w:rFonts w:ascii="Calibri" w:hAnsi="Calibri" w:eastAsia="等线" w:cs="Times New Roman"/>
      <w:kern w:val="3"/>
      <w:sz w:val="18"/>
      <w:szCs w:val="18"/>
    </w:rPr>
  </w:style>
  <w:style w:type="character" w:customStyle="1" w:styleId="17">
    <w:name w:val="页脚 Char"/>
    <w:basedOn w:val="7"/>
    <w:semiHidden/>
    <w:qFormat/>
    <w:uiPriority w:val="99"/>
    <w:rPr>
      <w:rFonts w:ascii="Calibri" w:hAnsi="Calibri" w:eastAsia="等线" w:cs="Times New Roman"/>
      <w:kern w:val="3"/>
      <w:sz w:val="18"/>
      <w:szCs w:val="18"/>
    </w:rPr>
  </w:style>
  <w:style w:type="character" w:customStyle="1" w:styleId="18">
    <w:name w:val="标准正文格式 Char"/>
    <w:link w:val="19"/>
    <w:autoRedefine/>
    <w:qFormat/>
    <w:uiPriority w:val="0"/>
    <w:rPr>
      <w:rFonts w:ascii="宋体" w:hAnsi="Times New Roman" w:eastAsia="仿宋_GB2312" w:cs="Times New Roman"/>
      <w:color w:val="000000"/>
      <w:kern w:val="0"/>
      <w:sz w:val="24"/>
      <w:szCs w:val="20"/>
    </w:rPr>
  </w:style>
  <w:style w:type="paragraph" w:customStyle="1" w:styleId="19">
    <w:name w:val="标准正文格式"/>
    <w:basedOn w:val="1"/>
    <w:link w:val="18"/>
    <w:qFormat/>
    <w:uiPriority w:val="0"/>
    <w:pPr>
      <w:widowControl/>
      <w:suppressAutoHyphens w:val="0"/>
      <w:overflowPunct/>
      <w:autoSpaceDE/>
      <w:autoSpaceDN/>
      <w:adjustRightInd w:val="0"/>
      <w:spacing w:before="60" w:after="120" w:line="360" w:lineRule="auto"/>
      <w:ind w:firstLine="200" w:firstLineChars="200"/>
    </w:pPr>
    <w:rPr>
      <w:rFonts w:ascii="宋体" w:hAnsi="Times New Roman" w:eastAsia="仿宋_GB2312"/>
      <w:color w:val="000000"/>
      <w:kern w:val="0"/>
      <w:sz w:val="24"/>
      <w:szCs w:val="20"/>
    </w:rPr>
  </w:style>
  <w:style w:type="character" w:customStyle="1" w:styleId="20">
    <w:name w:val="页眉 Char"/>
    <w:basedOn w:val="7"/>
    <w:semiHidden/>
    <w:qFormat/>
    <w:uiPriority w:val="99"/>
    <w:rPr>
      <w:rFonts w:ascii="Calibri" w:hAnsi="Calibri" w:eastAsia="等线" w:cs="Times New Roman"/>
      <w:kern w:val="3"/>
      <w:sz w:val="18"/>
      <w:szCs w:val="18"/>
    </w:rPr>
  </w:style>
  <w:style w:type="paragraph" w:customStyle="1" w:styleId="21">
    <w:name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paragraph" w:customStyle="1" w:styleId="23">
    <w:name w:val="font5"/>
    <w:basedOn w:val="1"/>
    <w:qFormat/>
    <w:uiPriority w:val="0"/>
    <w:pPr>
      <w:widowControl/>
      <w:suppressAutoHyphens w:val="0"/>
      <w:overflowPunct/>
      <w:autoSpaceDE/>
      <w:autoSpaceDN/>
      <w:spacing w:before="100" w:beforeAutospacing="1" w:after="100" w:afterAutospacing="1"/>
      <w:jc w:val="left"/>
      <w:textAlignment w:val="auto"/>
    </w:pPr>
    <w:rPr>
      <w:rFonts w:ascii="等线" w:hAnsi="等线" w:cs="宋体"/>
      <w:kern w:val="0"/>
      <w:sz w:val="18"/>
      <w:szCs w:val="18"/>
    </w:rPr>
  </w:style>
  <w:style w:type="paragraph" w:customStyle="1" w:styleId="24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5">
    <w:name w:val="16"/>
    <w:basedOn w:val="1"/>
    <w:autoRedefine/>
    <w:qFormat/>
    <w:uiPriority w:val="0"/>
    <w:pPr>
      <w:widowControl/>
      <w:suppressAutoHyphens w:val="0"/>
      <w:overflowPunct/>
      <w:autoSpaceDE/>
      <w:autoSpaceDN/>
      <w:spacing w:before="100" w:beforeAutospacing="1" w:after="100" w:afterAutospacing="1"/>
      <w:jc w:val="left"/>
      <w:textAlignment w:val="auto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font6"/>
    <w:basedOn w:val="1"/>
    <w:autoRedefine/>
    <w:qFormat/>
    <w:uiPriority w:val="0"/>
    <w:pPr>
      <w:widowControl/>
      <w:suppressAutoHyphens w:val="0"/>
      <w:overflowPunct/>
      <w:autoSpaceDE/>
      <w:autoSpaceDN/>
      <w:spacing w:before="100" w:beforeAutospacing="1" w:after="100" w:afterAutospacing="1"/>
      <w:jc w:val="left"/>
      <w:textAlignment w:val="auto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9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33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uppressAutoHyphens w:val="0"/>
      <w:overflowPunct/>
      <w:autoSpaceDE/>
      <w:autoSpaceDN/>
      <w:spacing w:before="100" w:beforeAutospacing="1" w:after="100" w:afterAutospacing="1"/>
      <w:jc w:val="left"/>
      <w:textAlignment w:val="auto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suppressAutoHyphens w:val="0"/>
      <w:overflowPunct/>
      <w:autoSpaceDE/>
      <w:autoSpaceDN/>
      <w:spacing w:before="100" w:beforeAutospacing="1" w:after="100" w:afterAutospacing="1"/>
      <w:jc w:val="left"/>
      <w:textAlignment w:val="auto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3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uppressAutoHyphens w:val="0"/>
      <w:overflowPunct/>
      <w:autoSpaceDE/>
      <w:autoSpaceDN/>
      <w:spacing w:before="100" w:beforeAutospacing="1" w:after="100" w:afterAutospacing="1"/>
      <w:jc w:val="left"/>
      <w:textAlignment w:val="auto"/>
    </w:pPr>
    <w:rPr>
      <w:rFonts w:ascii="微软雅黑" w:hAnsi="微软雅黑" w:eastAsia="微软雅黑" w:cs="宋体"/>
      <w:color w:val="FF0000"/>
      <w:kern w:val="0"/>
      <w:sz w:val="18"/>
      <w:szCs w:val="18"/>
    </w:rPr>
  </w:style>
  <w:style w:type="paragraph" w:customStyle="1" w:styleId="36">
    <w:name w:val="列出段落1"/>
    <w:basedOn w:val="1"/>
    <w:qFormat/>
    <w:uiPriority w:val="34"/>
    <w:pPr>
      <w:ind w:firstLine="420" w:firstLineChars="200"/>
    </w:p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uppressAutoHyphens w:val="0"/>
      <w:overflowPunct/>
      <w:autoSpaceDE/>
      <w:autoSpaceDN/>
      <w:spacing w:before="100" w:beforeAutospacing="1" w:after="100" w:afterAutospacing="1"/>
      <w:jc w:val="left"/>
      <w:textAlignment w:val="auto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8">
    <w:name w:val="msonormal"/>
    <w:basedOn w:val="1"/>
    <w:uiPriority w:val="0"/>
    <w:pPr>
      <w:widowControl/>
      <w:suppressAutoHyphens w:val="0"/>
      <w:overflowPunct/>
      <w:autoSpaceDE/>
      <w:autoSpaceDN/>
      <w:spacing w:before="100" w:beforeAutospacing="1" w:after="100" w:afterAutospacing="1"/>
      <w:jc w:val="left"/>
      <w:textAlignment w:val="auto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66"/>
    <w:basedOn w:val="1"/>
    <w:qFormat/>
    <w:uiPriority w:val="0"/>
    <w:pPr>
      <w:widowControl/>
      <w:suppressAutoHyphens w:val="0"/>
      <w:overflowPunct/>
      <w:autoSpaceDE/>
      <w:autoSpaceDN/>
      <w:spacing w:before="100" w:beforeAutospacing="1" w:after="100" w:afterAutospacing="1"/>
      <w:jc w:val="left"/>
      <w:textAlignment w:val="auto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uppressAutoHyphens w:val="0"/>
      <w:overflowPunct/>
      <w:autoSpaceDE/>
      <w:autoSpaceDN/>
      <w:spacing w:before="100" w:beforeAutospacing="1" w:after="100" w:afterAutospacing="1"/>
      <w:jc w:val="left"/>
      <w:textAlignment w:val="auto"/>
    </w:pPr>
    <w:rPr>
      <w:rFonts w:ascii="微软雅黑" w:hAnsi="微软雅黑" w:eastAsia="微软雅黑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623</Words>
  <Characters>3553</Characters>
  <Lines>29</Lines>
  <Paragraphs>8</Paragraphs>
  <TotalTime>8</TotalTime>
  <ScaleCrop>false</ScaleCrop>
  <LinksUpToDate>false</LinksUpToDate>
  <CharactersWithSpaces>4168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2023-09-26T10:45:00Z</dcterms:created>
  <dc:creator>Administrator</dc:creator>
  <cp:lastModifiedBy>宋华刚</cp:lastModifiedBy>
  <dcterms:modified xsi:type="dcterms:W3CDTF">2024-03-01T00:47:20Z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43CE5E8CF2C240E88CBD54F5DB3329B0_13</vt:lpwstr>
  </property>
</Properties>
</file>